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25" w:type="dxa"/>
        <w:tblBorders>
          <w:top w:val="nil"/>
          <w:left w:val="nil"/>
          <w:bottom w:val="nil"/>
          <w:right w:val="nil"/>
        </w:tblBorders>
        <w:tblLayout w:type="fixed"/>
        <w:tblLook w:val="0000"/>
      </w:tblPr>
      <w:tblGrid>
        <w:gridCol w:w="1925"/>
        <w:gridCol w:w="481"/>
        <w:gridCol w:w="1444"/>
        <w:gridCol w:w="962"/>
        <w:gridCol w:w="963"/>
        <w:gridCol w:w="1443"/>
        <w:gridCol w:w="482"/>
        <w:gridCol w:w="1925"/>
      </w:tblGrid>
      <w:tr w:rsidR="00455DBF" w:rsidTr="00455DBF">
        <w:tblPrEx>
          <w:tblCellMar>
            <w:top w:w="0" w:type="dxa"/>
            <w:bottom w:w="0" w:type="dxa"/>
          </w:tblCellMar>
        </w:tblPrEx>
        <w:trPr>
          <w:trHeight w:val="1299"/>
        </w:trPr>
        <w:tc>
          <w:tcPr>
            <w:tcW w:w="1925" w:type="dxa"/>
          </w:tcPr>
          <w:p w:rsidR="00455DBF" w:rsidRDefault="00455DBF">
            <w:pPr>
              <w:pStyle w:val="Pa1"/>
              <w:spacing w:after="160"/>
              <w:rPr>
                <w:color w:val="000000"/>
                <w:sz w:val="16"/>
                <w:szCs w:val="16"/>
              </w:rPr>
            </w:pPr>
            <w:r>
              <w:rPr>
                <w:color w:val="000000"/>
                <w:sz w:val="16"/>
                <w:szCs w:val="16"/>
              </w:rPr>
              <w:t>Knowledge of NSW curriculum requirements</w:t>
            </w:r>
          </w:p>
        </w:tc>
        <w:tc>
          <w:tcPr>
            <w:tcW w:w="1925" w:type="dxa"/>
            <w:gridSpan w:val="2"/>
          </w:tcPr>
          <w:p w:rsidR="00455DBF" w:rsidRDefault="00455DBF">
            <w:pPr>
              <w:pStyle w:val="Pa1"/>
              <w:spacing w:after="160"/>
              <w:rPr>
                <w:color w:val="000000"/>
                <w:sz w:val="16"/>
                <w:szCs w:val="16"/>
              </w:rPr>
            </w:pPr>
            <w:r>
              <w:rPr>
                <w:color w:val="000000"/>
                <w:sz w:val="16"/>
                <w:szCs w:val="16"/>
              </w:rPr>
              <w:t>1.1.3 Design and implement lesson sequences using knowledge of the NSW syllabus documents or other curriculum requirements of the Education Act.</w:t>
            </w:r>
          </w:p>
        </w:tc>
        <w:tc>
          <w:tcPr>
            <w:tcW w:w="1925" w:type="dxa"/>
            <w:gridSpan w:val="2"/>
          </w:tcPr>
          <w:p w:rsidR="00455DBF" w:rsidRDefault="00455DBF">
            <w:pPr>
              <w:pStyle w:val="Pa1"/>
              <w:spacing w:after="160"/>
              <w:rPr>
                <w:color w:val="000000"/>
                <w:sz w:val="16"/>
                <w:szCs w:val="16"/>
              </w:rPr>
            </w:pPr>
            <w:r>
              <w:rPr>
                <w:color w:val="000000"/>
                <w:sz w:val="16"/>
                <w:szCs w:val="16"/>
              </w:rPr>
              <w:t>1.2.3 Design and implement contextually relevant teaching and learning sequences using knowledge of the NSW syllabus documents or other curriculum requirements of the Education Act.</w:t>
            </w:r>
          </w:p>
        </w:tc>
        <w:tc>
          <w:tcPr>
            <w:tcW w:w="1925" w:type="dxa"/>
            <w:gridSpan w:val="2"/>
          </w:tcPr>
          <w:p w:rsidR="00455DBF" w:rsidRDefault="00455DBF">
            <w:pPr>
              <w:pStyle w:val="Pa1"/>
              <w:spacing w:after="160"/>
              <w:rPr>
                <w:color w:val="000000"/>
                <w:sz w:val="16"/>
                <w:szCs w:val="16"/>
              </w:rPr>
            </w:pPr>
            <w:r>
              <w:rPr>
                <w:color w:val="000000"/>
                <w:sz w:val="16"/>
                <w:szCs w:val="16"/>
              </w:rPr>
              <w:t xml:space="preserve">1.3.3 Assist and </w:t>
            </w:r>
            <w:proofErr w:type="gramStart"/>
            <w:r>
              <w:rPr>
                <w:color w:val="000000"/>
                <w:sz w:val="16"/>
                <w:szCs w:val="16"/>
              </w:rPr>
              <w:t>advise</w:t>
            </w:r>
            <w:proofErr w:type="gramEnd"/>
            <w:r>
              <w:rPr>
                <w:color w:val="000000"/>
                <w:sz w:val="16"/>
                <w:szCs w:val="16"/>
              </w:rPr>
              <w:t xml:space="preserve"> on the implementation of contextually relevant, high quality teaching and learning programs and activities using expert knowledge of the NSW syllabus documents or other curriculum requirements of the Education Act.</w:t>
            </w:r>
          </w:p>
        </w:tc>
        <w:tc>
          <w:tcPr>
            <w:tcW w:w="1925" w:type="dxa"/>
          </w:tcPr>
          <w:p w:rsidR="00455DBF" w:rsidRDefault="00455DBF">
            <w:pPr>
              <w:pStyle w:val="Pa1"/>
              <w:spacing w:after="160"/>
              <w:rPr>
                <w:color w:val="000000"/>
                <w:sz w:val="16"/>
                <w:szCs w:val="16"/>
              </w:rPr>
            </w:pPr>
            <w:r>
              <w:rPr>
                <w:color w:val="000000"/>
                <w:sz w:val="16"/>
                <w:szCs w:val="16"/>
              </w:rPr>
              <w:t>1.4.3 Evaluate existing teaching and learning programs and lead further development by using expert knowledge of NSW syllabus documents or other curriculum requirements of the Education Act.</w:t>
            </w:r>
          </w:p>
        </w:tc>
      </w:tr>
      <w:tr w:rsidR="00455DBF" w:rsidTr="00455DBF">
        <w:tblPrEx>
          <w:tblCellMar>
            <w:top w:w="0" w:type="dxa"/>
            <w:bottom w:w="0" w:type="dxa"/>
          </w:tblCellMar>
        </w:tblPrEx>
        <w:trPr>
          <w:trHeight w:val="1991"/>
        </w:trPr>
        <w:tc>
          <w:tcPr>
            <w:tcW w:w="1925" w:type="dxa"/>
          </w:tcPr>
          <w:p w:rsidR="00455DBF" w:rsidRDefault="00455DBF">
            <w:pPr>
              <w:pStyle w:val="Pa1"/>
              <w:spacing w:after="160"/>
              <w:rPr>
                <w:color w:val="000000"/>
                <w:sz w:val="16"/>
                <w:szCs w:val="16"/>
              </w:rPr>
            </w:pPr>
            <w:r>
              <w:rPr>
                <w:color w:val="000000"/>
                <w:sz w:val="16"/>
                <w:szCs w:val="16"/>
              </w:rPr>
              <w:t>Knowledge of information and communication technologies (ICT) in the following areas:</w:t>
            </w:r>
          </w:p>
        </w:tc>
        <w:tc>
          <w:tcPr>
            <w:tcW w:w="1925" w:type="dxa"/>
            <w:gridSpan w:val="2"/>
          </w:tcPr>
          <w:p w:rsidR="00455DBF" w:rsidRDefault="00455DBF">
            <w:pPr>
              <w:pStyle w:val="Pa6"/>
              <w:spacing w:after="40"/>
              <w:rPr>
                <w:color w:val="000000"/>
                <w:sz w:val="16"/>
                <w:szCs w:val="16"/>
              </w:rPr>
            </w:pPr>
            <w:r>
              <w:rPr>
                <w:color w:val="000000"/>
                <w:sz w:val="16"/>
                <w:szCs w:val="16"/>
              </w:rPr>
              <w:t>1.1.4 Demonstrate current knowledge and proficiency in the use of the following:</w:t>
            </w:r>
          </w:p>
          <w:p w:rsidR="00455DBF" w:rsidRDefault="00455DBF">
            <w:pPr>
              <w:pStyle w:val="Pa6"/>
              <w:spacing w:after="40"/>
              <w:rPr>
                <w:color w:val="000000"/>
                <w:sz w:val="16"/>
                <w:szCs w:val="16"/>
              </w:rPr>
            </w:pPr>
            <w:r>
              <w:rPr>
                <w:color w:val="000000"/>
                <w:sz w:val="16"/>
                <w:szCs w:val="16"/>
              </w:rPr>
              <w:t>• Basic operational skills</w:t>
            </w:r>
          </w:p>
          <w:p w:rsidR="00455DBF" w:rsidRDefault="00455DBF">
            <w:pPr>
              <w:pStyle w:val="Pa6"/>
              <w:spacing w:after="40"/>
              <w:rPr>
                <w:color w:val="000000"/>
                <w:sz w:val="16"/>
                <w:szCs w:val="16"/>
              </w:rPr>
            </w:pPr>
            <w:r>
              <w:rPr>
                <w:color w:val="000000"/>
                <w:sz w:val="16"/>
                <w:szCs w:val="16"/>
              </w:rPr>
              <w:t>• Information technology skills</w:t>
            </w:r>
          </w:p>
          <w:p w:rsidR="00455DBF" w:rsidRDefault="00455DBF">
            <w:pPr>
              <w:pStyle w:val="Pa6"/>
              <w:spacing w:after="40"/>
              <w:rPr>
                <w:color w:val="000000"/>
                <w:sz w:val="16"/>
                <w:szCs w:val="16"/>
              </w:rPr>
            </w:pPr>
            <w:r>
              <w:rPr>
                <w:color w:val="000000"/>
                <w:sz w:val="16"/>
                <w:szCs w:val="16"/>
              </w:rPr>
              <w:t>• Software evaluation skills</w:t>
            </w:r>
          </w:p>
          <w:p w:rsidR="00455DBF" w:rsidRDefault="00455DBF">
            <w:pPr>
              <w:pStyle w:val="Pa6"/>
              <w:spacing w:after="40"/>
              <w:rPr>
                <w:color w:val="000000"/>
                <w:sz w:val="16"/>
                <w:szCs w:val="16"/>
              </w:rPr>
            </w:pPr>
            <w:r>
              <w:rPr>
                <w:color w:val="000000"/>
                <w:sz w:val="16"/>
                <w:szCs w:val="16"/>
              </w:rPr>
              <w:t>• Effective use of the internet</w:t>
            </w:r>
          </w:p>
          <w:p w:rsidR="00455DBF" w:rsidRDefault="00455DBF">
            <w:pPr>
              <w:pStyle w:val="Pa1"/>
              <w:spacing w:after="160"/>
              <w:rPr>
                <w:color w:val="000000"/>
                <w:sz w:val="16"/>
                <w:szCs w:val="16"/>
              </w:rPr>
            </w:pPr>
            <w:r>
              <w:rPr>
                <w:color w:val="000000"/>
                <w:sz w:val="16"/>
                <w:szCs w:val="16"/>
              </w:rPr>
              <w:t>• Pedagogical skills for classroom management.</w:t>
            </w:r>
          </w:p>
        </w:tc>
        <w:tc>
          <w:tcPr>
            <w:tcW w:w="1925" w:type="dxa"/>
            <w:gridSpan w:val="2"/>
          </w:tcPr>
          <w:p w:rsidR="00455DBF" w:rsidRDefault="00455DBF">
            <w:pPr>
              <w:pStyle w:val="Pa6"/>
              <w:spacing w:after="40"/>
              <w:rPr>
                <w:color w:val="000000"/>
                <w:sz w:val="16"/>
                <w:szCs w:val="16"/>
              </w:rPr>
            </w:pPr>
            <w:r>
              <w:rPr>
                <w:color w:val="000000"/>
                <w:sz w:val="16"/>
                <w:szCs w:val="16"/>
              </w:rPr>
              <w:t>1.2.4 Apply current knowledge and skills in the use of ICT in the classroom to meet syllabus outcomes in the following:</w:t>
            </w:r>
          </w:p>
          <w:p w:rsidR="00455DBF" w:rsidRDefault="00455DBF">
            <w:pPr>
              <w:pStyle w:val="Pa6"/>
              <w:spacing w:after="40"/>
              <w:rPr>
                <w:color w:val="000000"/>
                <w:sz w:val="16"/>
                <w:szCs w:val="16"/>
              </w:rPr>
            </w:pPr>
            <w:r>
              <w:rPr>
                <w:color w:val="000000"/>
                <w:sz w:val="16"/>
                <w:szCs w:val="16"/>
              </w:rPr>
              <w:t>• Basic operational skills</w:t>
            </w:r>
          </w:p>
          <w:p w:rsidR="00455DBF" w:rsidRDefault="00455DBF">
            <w:pPr>
              <w:pStyle w:val="Pa6"/>
              <w:spacing w:after="40"/>
              <w:rPr>
                <w:color w:val="000000"/>
                <w:sz w:val="16"/>
                <w:szCs w:val="16"/>
              </w:rPr>
            </w:pPr>
            <w:r>
              <w:rPr>
                <w:color w:val="000000"/>
                <w:sz w:val="16"/>
                <w:szCs w:val="16"/>
              </w:rPr>
              <w:t>• Information technology skills</w:t>
            </w:r>
          </w:p>
          <w:p w:rsidR="00455DBF" w:rsidRDefault="00455DBF">
            <w:pPr>
              <w:pStyle w:val="Pa6"/>
              <w:spacing w:after="40"/>
              <w:rPr>
                <w:color w:val="000000"/>
                <w:sz w:val="16"/>
                <w:szCs w:val="16"/>
              </w:rPr>
            </w:pPr>
            <w:r>
              <w:rPr>
                <w:color w:val="000000"/>
                <w:sz w:val="16"/>
                <w:szCs w:val="16"/>
              </w:rPr>
              <w:t>• Software evaluation skills</w:t>
            </w:r>
          </w:p>
          <w:p w:rsidR="00455DBF" w:rsidRDefault="00455DBF">
            <w:pPr>
              <w:pStyle w:val="Pa6"/>
              <w:spacing w:after="40"/>
              <w:rPr>
                <w:color w:val="000000"/>
                <w:sz w:val="16"/>
                <w:szCs w:val="16"/>
              </w:rPr>
            </w:pPr>
            <w:r>
              <w:rPr>
                <w:color w:val="000000"/>
                <w:sz w:val="16"/>
                <w:szCs w:val="16"/>
              </w:rPr>
              <w:t>• Effective use of the internet</w:t>
            </w:r>
          </w:p>
          <w:p w:rsidR="00455DBF" w:rsidRDefault="00455DBF">
            <w:pPr>
              <w:pStyle w:val="Pa1"/>
              <w:spacing w:after="160"/>
              <w:rPr>
                <w:color w:val="000000"/>
                <w:sz w:val="16"/>
                <w:szCs w:val="16"/>
              </w:rPr>
            </w:pPr>
            <w:r>
              <w:rPr>
                <w:color w:val="000000"/>
                <w:sz w:val="16"/>
                <w:szCs w:val="16"/>
              </w:rPr>
              <w:t>• Pedagogical skills for classroom management.</w:t>
            </w:r>
          </w:p>
        </w:tc>
        <w:tc>
          <w:tcPr>
            <w:tcW w:w="1925" w:type="dxa"/>
            <w:gridSpan w:val="2"/>
          </w:tcPr>
          <w:p w:rsidR="00455DBF" w:rsidRDefault="00455DBF">
            <w:pPr>
              <w:pStyle w:val="Pa6"/>
              <w:spacing w:after="40"/>
              <w:rPr>
                <w:color w:val="000000"/>
                <w:sz w:val="16"/>
                <w:szCs w:val="16"/>
              </w:rPr>
            </w:pPr>
            <w:r>
              <w:rPr>
                <w:color w:val="000000"/>
                <w:sz w:val="16"/>
                <w:szCs w:val="16"/>
              </w:rPr>
              <w:t>1.3.4 Exhibit and share current skills in the use of ICT in the classroom to meet syllabus outcomes in the following:</w:t>
            </w:r>
          </w:p>
          <w:p w:rsidR="00455DBF" w:rsidRDefault="00455DBF">
            <w:pPr>
              <w:pStyle w:val="Pa6"/>
              <w:spacing w:after="40"/>
              <w:rPr>
                <w:color w:val="000000"/>
                <w:sz w:val="16"/>
                <w:szCs w:val="16"/>
              </w:rPr>
            </w:pPr>
            <w:r>
              <w:rPr>
                <w:color w:val="000000"/>
                <w:sz w:val="16"/>
                <w:szCs w:val="16"/>
              </w:rPr>
              <w:t>• Operational skills</w:t>
            </w:r>
          </w:p>
          <w:p w:rsidR="00455DBF" w:rsidRDefault="00455DBF">
            <w:pPr>
              <w:pStyle w:val="Pa6"/>
              <w:spacing w:after="40"/>
              <w:rPr>
                <w:color w:val="000000"/>
                <w:sz w:val="16"/>
                <w:szCs w:val="16"/>
              </w:rPr>
            </w:pPr>
            <w:r>
              <w:rPr>
                <w:color w:val="000000"/>
                <w:sz w:val="16"/>
                <w:szCs w:val="16"/>
              </w:rPr>
              <w:t>• Information technology skills</w:t>
            </w:r>
          </w:p>
          <w:p w:rsidR="00455DBF" w:rsidRDefault="00455DBF">
            <w:pPr>
              <w:pStyle w:val="Pa6"/>
              <w:spacing w:after="40"/>
              <w:rPr>
                <w:color w:val="000000"/>
                <w:sz w:val="16"/>
                <w:szCs w:val="16"/>
              </w:rPr>
            </w:pPr>
            <w:r>
              <w:rPr>
                <w:color w:val="000000"/>
                <w:sz w:val="16"/>
                <w:szCs w:val="16"/>
              </w:rPr>
              <w:t>• Software evaluation skills</w:t>
            </w:r>
          </w:p>
          <w:p w:rsidR="00455DBF" w:rsidRDefault="00455DBF">
            <w:pPr>
              <w:pStyle w:val="Pa6"/>
              <w:spacing w:after="40"/>
              <w:rPr>
                <w:color w:val="000000"/>
                <w:sz w:val="16"/>
                <w:szCs w:val="16"/>
              </w:rPr>
            </w:pPr>
            <w:r>
              <w:rPr>
                <w:color w:val="000000"/>
                <w:sz w:val="16"/>
                <w:szCs w:val="16"/>
              </w:rPr>
              <w:t>• Effective use of the internet</w:t>
            </w:r>
          </w:p>
          <w:p w:rsidR="00455DBF" w:rsidRDefault="00455DBF">
            <w:pPr>
              <w:pStyle w:val="Pa1"/>
              <w:spacing w:after="160"/>
              <w:rPr>
                <w:color w:val="000000"/>
                <w:sz w:val="16"/>
                <w:szCs w:val="16"/>
              </w:rPr>
            </w:pPr>
            <w:r>
              <w:rPr>
                <w:color w:val="000000"/>
                <w:sz w:val="16"/>
                <w:szCs w:val="16"/>
              </w:rPr>
              <w:t>• Pedagogical skills for classroom management.</w:t>
            </w:r>
          </w:p>
        </w:tc>
        <w:tc>
          <w:tcPr>
            <w:tcW w:w="1925" w:type="dxa"/>
          </w:tcPr>
          <w:p w:rsidR="00455DBF" w:rsidRDefault="00455DBF">
            <w:pPr>
              <w:pStyle w:val="Pa1"/>
              <w:spacing w:after="160"/>
              <w:rPr>
                <w:color w:val="000000"/>
                <w:sz w:val="16"/>
                <w:szCs w:val="16"/>
              </w:rPr>
            </w:pPr>
            <w:r>
              <w:rPr>
                <w:color w:val="000000"/>
                <w:sz w:val="16"/>
                <w:szCs w:val="16"/>
              </w:rPr>
              <w:t xml:space="preserve">1.4.4 Initiate or lead the implementation of policies and processes to integrate ICT into the learning environment. </w:t>
            </w:r>
          </w:p>
        </w:tc>
      </w:tr>
      <w:tr w:rsidR="00455DBF" w:rsidTr="00455DBF">
        <w:tblPrEx>
          <w:tblCellMar>
            <w:top w:w="0" w:type="dxa"/>
            <w:bottom w:w="0" w:type="dxa"/>
          </w:tblCellMar>
        </w:tblPrEx>
        <w:trPr>
          <w:trHeight w:val="1991"/>
        </w:trPr>
        <w:tc>
          <w:tcPr>
            <w:tcW w:w="1925" w:type="dxa"/>
            <w:tcBorders>
              <w:left w:val="nil"/>
              <w:bottom w:val="nil"/>
            </w:tcBorders>
          </w:tcPr>
          <w:p w:rsidR="00455DBF" w:rsidRDefault="00455DBF">
            <w:pPr>
              <w:pStyle w:val="Pa1"/>
              <w:spacing w:after="160"/>
              <w:rPr>
                <w:color w:val="000000"/>
                <w:sz w:val="16"/>
                <w:szCs w:val="16"/>
              </w:rPr>
            </w:pPr>
            <w:r>
              <w:rPr>
                <w:color w:val="000000"/>
                <w:sz w:val="16"/>
                <w:szCs w:val="16"/>
              </w:rPr>
              <w:t xml:space="preserve">Teaching strategies </w:t>
            </w:r>
          </w:p>
        </w:tc>
        <w:tc>
          <w:tcPr>
            <w:tcW w:w="1925" w:type="dxa"/>
            <w:gridSpan w:val="2"/>
            <w:tcBorders>
              <w:bottom w:val="nil"/>
            </w:tcBorders>
          </w:tcPr>
          <w:p w:rsidR="00455DBF" w:rsidRDefault="00455DBF" w:rsidP="00455DBF">
            <w:pPr>
              <w:pStyle w:val="Pa6"/>
              <w:spacing w:after="40"/>
              <w:rPr>
                <w:color w:val="000000"/>
                <w:sz w:val="16"/>
                <w:szCs w:val="16"/>
              </w:rPr>
            </w:pPr>
            <w:r>
              <w:rPr>
                <w:color w:val="000000"/>
                <w:sz w:val="16"/>
                <w:szCs w:val="16"/>
              </w:rPr>
              <w:t>4.1.5 Use a range of teaching strategies and resources including ICT and other technologies to foster interest and support learning.</w:t>
            </w:r>
          </w:p>
        </w:tc>
        <w:tc>
          <w:tcPr>
            <w:tcW w:w="1925" w:type="dxa"/>
            <w:gridSpan w:val="2"/>
            <w:tcBorders>
              <w:bottom w:val="nil"/>
            </w:tcBorders>
          </w:tcPr>
          <w:p w:rsidR="00455DBF" w:rsidRDefault="00455DBF" w:rsidP="00455DBF">
            <w:pPr>
              <w:pStyle w:val="Pa6"/>
              <w:spacing w:after="40"/>
              <w:rPr>
                <w:color w:val="000000"/>
                <w:sz w:val="16"/>
                <w:szCs w:val="16"/>
              </w:rPr>
            </w:pPr>
            <w:r>
              <w:rPr>
                <w:color w:val="000000"/>
                <w:sz w:val="16"/>
                <w:szCs w:val="16"/>
              </w:rPr>
              <w:t>4.2.5 Create, select and use a variety of appropriate teaching strategies and resources including ICT and other technologies to make content meaningful to students.</w:t>
            </w:r>
          </w:p>
        </w:tc>
        <w:tc>
          <w:tcPr>
            <w:tcW w:w="1925" w:type="dxa"/>
            <w:gridSpan w:val="2"/>
            <w:tcBorders>
              <w:bottom w:val="nil"/>
            </w:tcBorders>
          </w:tcPr>
          <w:p w:rsidR="00455DBF" w:rsidRDefault="00455DBF" w:rsidP="00455DBF">
            <w:pPr>
              <w:pStyle w:val="Pa6"/>
              <w:spacing w:after="40"/>
              <w:rPr>
                <w:color w:val="000000"/>
                <w:sz w:val="16"/>
                <w:szCs w:val="16"/>
              </w:rPr>
            </w:pPr>
            <w:r>
              <w:rPr>
                <w:color w:val="000000"/>
                <w:sz w:val="16"/>
                <w:szCs w:val="16"/>
              </w:rPr>
              <w:t>4.3.5 Assist colleagues to create, select and use a repertoire of teaching strategies and resources including ICT and other technologies to make content meaningful to individuals or groups of students.</w:t>
            </w:r>
          </w:p>
        </w:tc>
        <w:tc>
          <w:tcPr>
            <w:tcW w:w="1925" w:type="dxa"/>
            <w:tcBorders>
              <w:bottom w:val="nil"/>
              <w:right w:val="nil"/>
            </w:tcBorders>
          </w:tcPr>
          <w:p w:rsidR="00455DBF" w:rsidRDefault="00455DBF">
            <w:pPr>
              <w:pStyle w:val="Pa1"/>
              <w:spacing w:after="160"/>
              <w:rPr>
                <w:color w:val="000000"/>
                <w:sz w:val="16"/>
                <w:szCs w:val="16"/>
              </w:rPr>
            </w:pPr>
            <w:r>
              <w:rPr>
                <w:color w:val="000000"/>
                <w:sz w:val="16"/>
                <w:szCs w:val="16"/>
              </w:rPr>
              <w:t>4.4.5 Mentor teachers through sharing ideas about the creation, selection and use of appropriate teaching strategies and resources including ICT and other technologies to make content meaningful to individuals or groups of students.</w:t>
            </w:r>
          </w:p>
        </w:tc>
      </w:tr>
      <w:tr w:rsidR="00455DBF" w:rsidTr="00455DBF">
        <w:tblPrEx>
          <w:tblCellMar>
            <w:top w:w="0" w:type="dxa"/>
            <w:bottom w:w="0" w:type="dxa"/>
          </w:tblCellMar>
        </w:tblPrEx>
        <w:trPr>
          <w:trHeight w:val="1991"/>
        </w:trPr>
        <w:tc>
          <w:tcPr>
            <w:tcW w:w="1925" w:type="dxa"/>
            <w:tcBorders>
              <w:left w:val="nil"/>
              <w:bottom w:val="nil"/>
            </w:tcBorders>
          </w:tcPr>
          <w:p w:rsidR="00455DBF" w:rsidRDefault="00455DBF">
            <w:pPr>
              <w:pStyle w:val="Pa1"/>
              <w:spacing w:after="160"/>
              <w:rPr>
                <w:color w:val="000000"/>
                <w:sz w:val="16"/>
                <w:szCs w:val="16"/>
              </w:rPr>
            </w:pPr>
            <w:r>
              <w:rPr>
                <w:color w:val="000000"/>
                <w:sz w:val="16"/>
                <w:szCs w:val="16"/>
              </w:rPr>
              <w:t>Engagement in personal and collegial professional development</w:t>
            </w:r>
          </w:p>
        </w:tc>
        <w:tc>
          <w:tcPr>
            <w:tcW w:w="1925" w:type="dxa"/>
            <w:gridSpan w:val="2"/>
            <w:tcBorders>
              <w:bottom w:val="nil"/>
            </w:tcBorders>
          </w:tcPr>
          <w:p w:rsidR="00455DBF" w:rsidRDefault="00455DBF" w:rsidP="00455DBF">
            <w:pPr>
              <w:pStyle w:val="Pa6"/>
              <w:spacing w:after="40"/>
              <w:rPr>
                <w:color w:val="000000"/>
                <w:sz w:val="16"/>
                <w:szCs w:val="16"/>
              </w:rPr>
            </w:pPr>
            <w:r>
              <w:rPr>
                <w:color w:val="000000"/>
                <w:sz w:val="16"/>
                <w:szCs w:val="16"/>
              </w:rPr>
              <w:t>6.1.2 Demonstrate knowledge of the professional standards framework and its impact on the professional life of a teacher.</w:t>
            </w:r>
          </w:p>
        </w:tc>
        <w:tc>
          <w:tcPr>
            <w:tcW w:w="1925" w:type="dxa"/>
            <w:gridSpan w:val="2"/>
            <w:tcBorders>
              <w:bottom w:val="nil"/>
            </w:tcBorders>
          </w:tcPr>
          <w:p w:rsidR="00455DBF" w:rsidRDefault="00455DBF" w:rsidP="00455DBF">
            <w:pPr>
              <w:pStyle w:val="Pa6"/>
              <w:spacing w:after="40"/>
              <w:rPr>
                <w:color w:val="000000"/>
                <w:sz w:val="16"/>
                <w:szCs w:val="16"/>
              </w:rPr>
            </w:pPr>
            <w:r>
              <w:rPr>
                <w:color w:val="000000"/>
                <w:sz w:val="16"/>
                <w:szCs w:val="16"/>
              </w:rPr>
              <w:t xml:space="preserve">6.2.2 Use the professional standards to identify personal professional development needs and plan accordingly. </w:t>
            </w:r>
          </w:p>
        </w:tc>
        <w:tc>
          <w:tcPr>
            <w:tcW w:w="1925" w:type="dxa"/>
            <w:gridSpan w:val="2"/>
            <w:tcBorders>
              <w:bottom w:val="nil"/>
            </w:tcBorders>
          </w:tcPr>
          <w:p w:rsidR="00455DBF" w:rsidRDefault="00455DBF" w:rsidP="00455DBF">
            <w:pPr>
              <w:pStyle w:val="Pa6"/>
              <w:spacing w:after="40"/>
              <w:rPr>
                <w:color w:val="000000"/>
                <w:sz w:val="16"/>
                <w:szCs w:val="16"/>
              </w:rPr>
            </w:pPr>
            <w:r>
              <w:rPr>
                <w:color w:val="000000"/>
                <w:sz w:val="16"/>
                <w:szCs w:val="16"/>
              </w:rPr>
              <w:t xml:space="preserve">6.3.2 Assist colleagues to identify and implement strategies to address their professional learning needs based on the professional standards. </w:t>
            </w:r>
          </w:p>
        </w:tc>
        <w:tc>
          <w:tcPr>
            <w:tcW w:w="1925" w:type="dxa"/>
            <w:tcBorders>
              <w:bottom w:val="nil"/>
              <w:right w:val="nil"/>
            </w:tcBorders>
          </w:tcPr>
          <w:p w:rsidR="00455DBF" w:rsidRDefault="00455DBF">
            <w:pPr>
              <w:pStyle w:val="Pa1"/>
              <w:spacing w:after="160"/>
              <w:rPr>
                <w:color w:val="000000"/>
                <w:sz w:val="16"/>
                <w:szCs w:val="16"/>
              </w:rPr>
            </w:pPr>
            <w:r>
              <w:rPr>
                <w:color w:val="000000"/>
                <w:sz w:val="16"/>
                <w:szCs w:val="16"/>
              </w:rPr>
              <w:t xml:space="preserve">6.4.2 Evaluate and address the professional learning needs of colleagues with reference to the professional standards </w:t>
            </w:r>
          </w:p>
        </w:tc>
      </w:tr>
      <w:tr w:rsidR="00455DBF" w:rsidTr="00455DBF">
        <w:tblPrEx>
          <w:tblCellMar>
            <w:top w:w="0" w:type="dxa"/>
            <w:bottom w:w="0" w:type="dxa"/>
          </w:tblCellMar>
        </w:tblPrEx>
        <w:trPr>
          <w:trHeight w:val="1991"/>
        </w:trPr>
        <w:tc>
          <w:tcPr>
            <w:tcW w:w="1925" w:type="dxa"/>
            <w:tcBorders>
              <w:left w:val="nil"/>
              <w:bottom w:val="nil"/>
            </w:tcBorders>
          </w:tcPr>
          <w:p w:rsidR="00455DBF" w:rsidRDefault="00455DBF">
            <w:pPr>
              <w:pStyle w:val="Pa1"/>
              <w:spacing w:after="160"/>
              <w:rPr>
                <w:color w:val="000000"/>
                <w:sz w:val="16"/>
                <w:szCs w:val="16"/>
              </w:rPr>
            </w:pPr>
            <w:r>
              <w:rPr>
                <w:color w:val="000000"/>
                <w:sz w:val="16"/>
                <w:szCs w:val="16"/>
              </w:rPr>
              <w:t>Capacity to contribute to a professional community</w:t>
            </w:r>
          </w:p>
        </w:tc>
        <w:tc>
          <w:tcPr>
            <w:tcW w:w="1925" w:type="dxa"/>
            <w:gridSpan w:val="2"/>
            <w:tcBorders>
              <w:bottom w:val="nil"/>
            </w:tcBorders>
          </w:tcPr>
          <w:p w:rsidR="00455DBF" w:rsidRDefault="00455DBF" w:rsidP="00455DBF">
            <w:pPr>
              <w:pStyle w:val="Pa6"/>
              <w:spacing w:after="40"/>
              <w:rPr>
                <w:color w:val="000000"/>
                <w:sz w:val="16"/>
                <w:szCs w:val="16"/>
              </w:rPr>
            </w:pPr>
            <w:r>
              <w:rPr>
                <w:color w:val="000000"/>
                <w:sz w:val="16"/>
                <w:szCs w:val="16"/>
              </w:rPr>
              <w:t>6.1.4 Demonstrate knowledge of the importance of teamwork in an educational context.</w:t>
            </w:r>
          </w:p>
        </w:tc>
        <w:tc>
          <w:tcPr>
            <w:tcW w:w="1925" w:type="dxa"/>
            <w:gridSpan w:val="2"/>
            <w:tcBorders>
              <w:bottom w:val="nil"/>
            </w:tcBorders>
          </w:tcPr>
          <w:p w:rsidR="00455DBF" w:rsidRDefault="00455DBF" w:rsidP="00455DBF">
            <w:pPr>
              <w:pStyle w:val="Pa6"/>
              <w:spacing w:after="40"/>
              <w:rPr>
                <w:color w:val="000000"/>
                <w:sz w:val="16"/>
                <w:szCs w:val="16"/>
              </w:rPr>
            </w:pPr>
            <w:r>
              <w:rPr>
                <w:color w:val="000000"/>
                <w:sz w:val="16"/>
                <w:szCs w:val="16"/>
              </w:rPr>
              <w:t>6.2.4 Work productively and openly with colleagues in reviewing teaching strategies and refining professional knowledge and practice.</w:t>
            </w:r>
          </w:p>
        </w:tc>
        <w:tc>
          <w:tcPr>
            <w:tcW w:w="1925" w:type="dxa"/>
            <w:gridSpan w:val="2"/>
            <w:tcBorders>
              <w:bottom w:val="nil"/>
            </w:tcBorders>
          </w:tcPr>
          <w:p w:rsidR="00455DBF" w:rsidRDefault="00455DBF" w:rsidP="00455DBF">
            <w:pPr>
              <w:pStyle w:val="Pa6"/>
              <w:spacing w:after="40"/>
              <w:rPr>
                <w:color w:val="000000"/>
                <w:sz w:val="16"/>
                <w:szCs w:val="16"/>
              </w:rPr>
            </w:pPr>
            <w:r>
              <w:rPr>
                <w:color w:val="000000"/>
                <w:sz w:val="16"/>
                <w:szCs w:val="16"/>
              </w:rPr>
              <w:t>6.3.4 Model collegial practices for evaluating and sharing best practice in teaching strategies and professional knowledge and practice.</w:t>
            </w:r>
          </w:p>
        </w:tc>
        <w:tc>
          <w:tcPr>
            <w:tcW w:w="1925" w:type="dxa"/>
            <w:tcBorders>
              <w:bottom w:val="nil"/>
              <w:right w:val="nil"/>
            </w:tcBorders>
          </w:tcPr>
          <w:p w:rsidR="00455DBF" w:rsidRDefault="00455DBF">
            <w:pPr>
              <w:pStyle w:val="Pa1"/>
              <w:spacing w:after="160"/>
              <w:rPr>
                <w:color w:val="000000"/>
                <w:sz w:val="16"/>
                <w:szCs w:val="16"/>
              </w:rPr>
            </w:pPr>
            <w:r>
              <w:rPr>
                <w:color w:val="000000"/>
                <w:sz w:val="16"/>
                <w:szCs w:val="16"/>
              </w:rPr>
              <w:t xml:space="preserve">6.4.4 Critically review research on best practice in teaching and learning to assist colleagues to further develop their </w:t>
            </w:r>
          </w:p>
        </w:tc>
      </w:tr>
      <w:tr w:rsidR="00455DBF" w:rsidTr="00455DBF">
        <w:tblPrEx>
          <w:tblCellMar>
            <w:top w:w="0" w:type="dxa"/>
            <w:bottom w:w="0" w:type="dxa"/>
          </w:tblCellMar>
        </w:tblPrEx>
        <w:trPr>
          <w:trHeight w:val="859"/>
        </w:trPr>
        <w:tc>
          <w:tcPr>
            <w:tcW w:w="2406" w:type="dxa"/>
            <w:gridSpan w:val="2"/>
          </w:tcPr>
          <w:p w:rsidR="00455DBF" w:rsidRDefault="00455DBF">
            <w:pPr>
              <w:pStyle w:val="Pa1"/>
              <w:spacing w:after="160"/>
              <w:rPr>
                <w:color w:val="000000"/>
                <w:sz w:val="16"/>
                <w:szCs w:val="16"/>
              </w:rPr>
            </w:pPr>
            <w:r>
              <w:rPr>
                <w:color w:val="000000"/>
                <w:sz w:val="16"/>
                <w:szCs w:val="16"/>
              </w:rPr>
              <w:t>6.1.5 Accept constructive feedback to improve and refine teaching and learning practices.</w:t>
            </w:r>
          </w:p>
        </w:tc>
        <w:tc>
          <w:tcPr>
            <w:tcW w:w="2406" w:type="dxa"/>
            <w:gridSpan w:val="2"/>
          </w:tcPr>
          <w:p w:rsidR="00455DBF" w:rsidRDefault="00455DBF">
            <w:pPr>
              <w:pStyle w:val="Pa1"/>
              <w:spacing w:after="160"/>
              <w:rPr>
                <w:color w:val="000000"/>
                <w:sz w:val="16"/>
                <w:szCs w:val="16"/>
              </w:rPr>
            </w:pPr>
            <w:r>
              <w:rPr>
                <w:color w:val="000000"/>
                <w:sz w:val="16"/>
                <w:szCs w:val="16"/>
              </w:rPr>
              <w:t>6.2.5 Accept and offer constructive feedback to support a professional learning community.</w:t>
            </w:r>
          </w:p>
        </w:tc>
        <w:tc>
          <w:tcPr>
            <w:tcW w:w="2406" w:type="dxa"/>
            <w:gridSpan w:val="2"/>
          </w:tcPr>
          <w:p w:rsidR="00455DBF" w:rsidRDefault="00455DBF">
            <w:pPr>
              <w:pStyle w:val="Pa1"/>
              <w:spacing w:after="160"/>
              <w:rPr>
                <w:color w:val="000000"/>
                <w:sz w:val="16"/>
                <w:szCs w:val="16"/>
              </w:rPr>
            </w:pPr>
            <w:r>
              <w:rPr>
                <w:color w:val="000000"/>
                <w:sz w:val="16"/>
                <w:szCs w:val="16"/>
              </w:rPr>
              <w:t>6.3.5 Create and utilise networks to support constructive professional discussion.</w:t>
            </w:r>
          </w:p>
        </w:tc>
        <w:tc>
          <w:tcPr>
            <w:tcW w:w="2406" w:type="dxa"/>
            <w:gridSpan w:val="2"/>
          </w:tcPr>
          <w:p w:rsidR="00455DBF" w:rsidRDefault="00455DBF">
            <w:pPr>
              <w:pStyle w:val="Pa1"/>
              <w:spacing w:after="160"/>
              <w:rPr>
                <w:color w:val="000000"/>
                <w:sz w:val="16"/>
                <w:szCs w:val="16"/>
              </w:rPr>
            </w:pPr>
            <w:r>
              <w:rPr>
                <w:color w:val="000000"/>
                <w:sz w:val="16"/>
                <w:szCs w:val="16"/>
              </w:rPr>
              <w:t>6.4.5 Initiate or lead strategies for developing a climate for accepting and providing constructive feedback and recognition of achievement.</w:t>
            </w:r>
          </w:p>
        </w:tc>
      </w:tr>
    </w:tbl>
    <w:p w:rsidR="007015A8" w:rsidRDefault="00455DBF">
      <w:r>
        <w:tab/>
      </w:r>
      <w:r>
        <w:tab/>
      </w:r>
    </w:p>
    <w:sectPr w:rsidR="007015A8" w:rsidSect="00804E86">
      <w:head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8BC" w:rsidRDefault="000F48BC" w:rsidP="00B63E37">
      <w:pPr>
        <w:spacing w:after="0" w:line="240" w:lineRule="auto"/>
      </w:pPr>
      <w:r>
        <w:separator/>
      </w:r>
    </w:p>
  </w:endnote>
  <w:endnote w:type="continuationSeparator" w:id="0">
    <w:p w:rsidR="000F48BC" w:rsidRDefault="000F48BC" w:rsidP="00B63E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8BC" w:rsidRDefault="000F48BC" w:rsidP="00B63E37">
      <w:pPr>
        <w:spacing w:after="0" w:line="240" w:lineRule="auto"/>
      </w:pPr>
      <w:r>
        <w:separator/>
      </w:r>
    </w:p>
  </w:footnote>
  <w:footnote w:type="continuationSeparator" w:id="0">
    <w:p w:rsidR="000F48BC" w:rsidRDefault="000F48BC" w:rsidP="00B63E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E37" w:rsidRDefault="00B63E37">
    <w:pPr>
      <w:pStyle w:val="Header"/>
    </w:pPr>
    <w:r>
      <w:t>NSW IT Standards relating to/about ICT</w:t>
    </w:r>
  </w:p>
  <w:p w:rsidR="00B63E37" w:rsidRDefault="00B63E37">
    <w:pPr>
      <w:pStyle w:val="Header"/>
    </w:pPr>
    <w:r>
      <w:t>February 2011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55DBF"/>
    <w:rsid w:val="000C267B"/>
    <w:rsid w:val="000F48BC"/>
    <w:rsid w:val="002D6EC3"/>
    <w:rsid w:val="00455DBF"/>
    <w:rsid w:val="00804E86"/>
    <w:rsid w:val="00B63E37"/>
    <w:rsid w:val="00E15D1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E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1">
    <w:name w:val="Pa1"/>
    <w:basedOn w:val="Normal"/>
    <w:next w:val="Normal"/>
    <w:uiPriority w:val="99"/>
    <w:rsid w:val="00455DBF"/>
    <w:pPr>
      <w:autoSpaceDE w:val="0"/>
      <w:autoSpaceDN w:val="0"/>
      <w:adjustRightInd w:val="0"/>
      <w:spacing w:after="0" w:line="161" w:lineRule="atLeast"/>
    </w:pPr>
    <w:rPr>
      <w:rFonts w:ascii="Arial" w:hAnsi="Arial" w:cs="Arial"/>
      <w:sz w:val="24"/>
      <w:szCs w:val="24"/>
    </w:rPr>
  </w:style>
  <w:style w:type="paragraph" w:customStyle="1" w:styleId="Pa6">
    <w:name w:val="Pa6"/>
    <w:basedOn w:val="Normal"/>
    <w:next w:val="Normal"/>
    <w:uiPriority w:val="99"/>
    <w:rsid w:val="00455DBF"/>
    <w:pPr>
      <w:autoSpaceDE w:val="0"/>
      <w:autoSpaceDN w:val="0"/>
      <w:adjustRightInd w:val="0"/>
      <w:spacing w:after="0" w:line="161" w:lineRule="atLeast"/>
    </w:pPr>
    <w:rPr>
      <w:rFonts w:ascii="Arial" w:hAnsi="Arial" w:cs="Arial"/>
      <w:sz w:val="24"/>
      <w:szCs w:val="24"/>
    </w:rPr>
  </w:style>
  <w:style w:type="paragraph" w:styleId="Header">
    <w:name w:val="header"/>
    <w:basedOn w:val="Normal"/>
    <w:link w:val="HeaderChar"/>
    <w:uiPriority w:val="99"/>
    <w:semiHidden/>
    <w:unhideWhenUsed/>
    <w:rsid w:val="00B63E3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63E37"/>
  </w:style>
  <w:style w:type="paragraph" w:styleId="Footer">
    <w:name w:val="footer"/>
    <w:basedOn w:val="Normal"/>
    <w:link w:val="FooterChar"/>
    <w:uiPriority w:val="99"/>
    <w:semiHidden/>
    <w:unhideWhenUsed/>
    <w:rsid w:val="00B63E3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63E3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1</Pages>
  <Words>607</Words>
  <Characters>3464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v.vance</dc:creator>
  <cp:lastModifiedBy>v.vance</cp:lastModifiedBy>
  <cp:revision>2</cp:revision>
  <dcterms:created xsi:type="dcterms:W3CDTF">2011-02-18T01:43:00Z</dcterms:created>
  <dcterms:modified xsi:type="dcterms:W3CDTF">2011-02-18T06:11:00Z</dcterms:modified>
</cp:coreProperties>
</file>